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82" w:rsidRDefault="00E72082"/>
    <w:p w:rsidR="00E72082" w:rsidRDefault="00E72082" w:rsidP="00737717">
      <w:pPr>
        <w:jc w:val="both"/>
      </w:pPr>
      <w:r>
        <w:t>Introduction</w:t>
      </w:r>
    </w:p>
    <w:p w:rsidR="00E72082" w:rsidRDefault="00E72082" w:rsidP="00737717">
      <w:pPr>
        <w:jc w:val="both"/>
      </w:pPr>
      <w:r>
        <w:t xml:space="preserve">Mon expérience professionnelle de formateur en IFSI, au sein de la fonction publique hospitalière, ne m’avait pas jusque là fait mesurer les enjeux du monde </w:t>
      </w:r>
      <w:r w:rsidR="006813CA">
        <w:t xml:space="preserve">très diversifié </w:t>
      </w:r>
      <w:r>
        <w:t>de la formation professionnelle continue. Grâce aux intervenants issus de différents secteurs, publics et privés, j’ai pu prendre la mesure du contexte des métiers de la formation et de leurs problématiques</w:t>
      </w:r>
      <w:r w:rsidR="00A87A76">
        <w:t xml:space="preserve">. </w:t>
      </w:r>
    </w:p>
    <w:p w:rsidR="00A87A76" w:rsidRDefault="00A87A76" w:rsidP="00737717">
      <w:pPr>
        <w:jc w:val="both"/>
      </w:pPr>
      <w:r>
        <w:t xml:space="preserve">Dans cette synthèse personnelle, j’ai choisi de mettre en évidence les points de convergence de ces différents secteurs, les problématiques communes mais aussi certaines particularités qu’il m’a semblé intéressant de repérer. </w:t>
      </w:r>
    </w:p>
    <w:p w:rsidR="00A87A76" w:rsidRDefault="00A87A76" w:rsidP="00737717">
      <w:pPr>
        <w:jc w:val="both"/>
      </w:pPr>
      <w:r>
        <w:t xml:space="preserve">Ainsi, mon travail sera structuré de la manière suivante : </w:t>
      </w:r>
    </w:p>
    <w:p w:rsidR="00A87A76" w:rsidRDefault="00A87A76" w:rsidP="00737717">
      <w:pPr>
        <w:pStyle w:val="Paragraphedeliste"/>
        <w:numPr>
          <w:ilvl w:val="0"/>
          <w:numId w:val="1"/>
        </w:numPr>
        <w:jc w:val="both"/>
      </w:pPr>
      <w:r>
        <w:t>Le contexte et l’évolution des métiers de la formation</w:t>
      </w:r>
    </w:p>
    <w:p w:rsidR="00A87A76" w:rsidRDefault="00A87A76" w:rsidP="00737717">
      <w:pPr>
        <w:pStyle w:val="Paragraphedeliste"/>
        <w:numPr>
          <w:ilvl w:val="0"/>
          <w:numId w:val="1"/>
        </w:numPr>
        <w:jc w:val="both"/>
      </w:pPr>
      <w:r>
        <w:t>La pédagogie</w:t>
      </w:r>
    </w:p>
    <w:p w:rsidR="00A87A76" w:rsidRDefault="00A87A76" w:rsidP="00737717">
      <w:pPr>
        <w:pStyle w:val="Paragraphedeliste"/>
        <w:numPr>
          <w:ilvl w:val="0"/>
          <w:numId w:val="1"/>
        </w:numPr>
        <w:jc w:val="both"/>
      </w:pPr>
      <w:r>
        <w:t>La posture du formateur</w:t>
      </w:r>
    </w:p>
    <w:p w:rsidR="00737717" w:rsidRDefault="00A87A76" w:rsidP="00737717">
      <w:pPr>
        <w:jc w:val="both"/>
      </w:pPr>
      <w:r>
        <w:t xml:space="preserve">Je tenterai au cours de mon propos de faire référence systématiquement aux propos tenus </w:t>
      </w:r>
      <w:r w:rsidR="00737717">
        <w:t xml:space="preserve">par les intervenants de ce cours. </w:t>
      </w:r>
    </w:p>
    <w:p w:rsidR="00A87A76" w:rsidRDefault="00A3196F" w:rsidP="00737717">
      <w:pPr>
        <w:jc w:val="both"/>
      </w:pPr>
      <w:r>
        <w:t xml:space="preserve"> </w:t>
      </w:r>
    </w:p>
    <w:p w:rsidR="00C45B57" w:rsidRDefault="00B2211C" w:rsidP="00737717">
      <w:pPr>
        <w:pStyle w:val="Paragraphedeliste"/>
        <w:numPr>
          <w:ilvl w:val="0"/>
          <w:numId w:val="3"/>
        </w:numPr>
        <w:jc w:val="both"/>
      </w:pPr>
      <w:r>
        <w:t xml:space="preserve"> </w:t>
      </w:r>
      <w:r w:rsidR="007C3664">
        <w:t xml:space="preserve">LE CONTEXTE </w:t>
      </w:r>
      <w:r w:rsidR="00737717">
        <w:t>ET L’EVOLUTION DES METIERS DE LA FORMATION</w:t>
      </w:r>
    </w:p>
    <w:p w:rsidR="00A3196F" w:rsidRDefault="00753053" w:rsidP="00737717">
      <w:pPr>
        <w:pBdr>
          <w:top w:val="single" w:sz="24" w:space="5" w:color="B3CC82" w:themeColor="accent3" w:themeTint="BF"/>
          <w:between w:val="single" w:sz="24" w:space="5" w:color="B3CC82" w:themeColor="accent3" w:themeTint="BF"/>
        </w:pBdr>
        <w:spacing w:after="120"/>
        <w:jc w:val="both"/>
      </w:pPr>
      <w:r>
        <w:t xml:space="preserve">Tout d’abord, la formation professionnelle continue est régie par des lois. </w:t>
      </w:r>
      <w:r w:rsidR="00A3196F">
        <w:t xml:space="preserve">La Loi du 16 juillet 1971 portant </w:t>
      </w:r>
      <w:r w:rsidR="00A3196F" w:rsidRPr="00A3196F">
        <w:rPr>
          <w:rStyle w:val="lev"/>
          <w:b w:val="0"/>
        </w:rPr>
        <w:t>organisation de la formation professionnelle continue dans le cadre de l'éducation permanente</w:t>
      </w:r>
      <w:r w:rsidR="00A3196F">
        <w:t>, a fait o</w:t>
      </w:r>
      <w:r w:rsidR="007C3664" w:rsidRPr="007C3664">
        <w:t>bligation aux entreprises de mettre en œuvre un plan de formation</w:t>
      </w:r>
      <w:r w:rsidR="00A3196F">
        <w:t xml:space="preserve"> </w:t>
      </w:r>
      <w:r w:rsidR="007C3664" w:rsidRPr="007C3664">
        <w:t xml:space="preserve">; </w:t>
      </w:r>
      <w:r w:rsidR="00A3196F">
        <w:t xml:space="preserve">cet investissement </w:t>
      </w:r>
      <w:r w:rsidR="007C3664" w:rsidRPr="007C3664">
        <w:t>représente entre 1 et 1,5 % de la masse salariale</w:t>
      </w:r>
      <w:r w:rsidR="00A3196F">
        <w:t xml:space="preserve">. </w:t>
      </w:r>
      <w:r w:rsidR="00245D0F" w:rsidRPr="00245D0F">
        <w:rPr>
          <w:iCs/>
          <w:szCs w:val="18"/>
        </w:rPr>
        <w:t>Cette loi</w:t>
      </w:r>
      <w:r w:rsidR="006813CA">
        <w:rPr>
          <w:iCs/>
          <w:szCs w:val="18"/>
        </w:rPr>
        <w:t>, fondatrice,</w:t>
      </w:r>
      <w:r w:rsidR="00245D0F" w:rsidRPr="00245D0F">
        <w:rPr>
          <w:iCs/>
          <w:szCs w:val="18"/>
        </w:rPr>
        <w:t xml:space="preserve"> arrive dans un contexte de plein emploi avec une philosophie centrée sur le développement personnel</w:t>
      </w:r>
      <w:r w:rsidR="00245D0F">
        <w:rPr>
          <w:iCs/>
          <w:szCs w:val="18"/>
        </w:rPr>
        <w:t>. C</w:t>
      </w:r>
      <w:r w:rsidR="00A3196F">
        <w:t xml:space="preserve">ela répond </w:t>
      </w:r>
      <w:r w:rsidR="00D96704">
        <w:t xml:space="preserve">aussi  </w:t>
      </w:r>
      <w:r w:rsidR="00A3196F">
        <w:t>à des besoins de compétences du fait de la tertiarisation de l’économie</w:t>
      </w:r>
      <w:r w:rsidR="006813CA">
        <w:t xml:space="preserve"> et</w:t>
      </w:r>
      <w:r w:rsidR="00A3196F">
        <w:t xml:space="preserve"> des évolutions technologiques</w:t>
      </w:r>
      <w:r w:rsidR="00245D0F">
        <w:t xml:space="preserve">. Plus tard, le </w:t>
      </w:r>
      <w:r w:rsidR="00A3196F">
        <w:t>contexte de crise de l’</w:t>
      </w:r>
      <w:r w:rsidR="00245D0F">
        <w:t>emploi, la mondialisation, le développement de pôles de compétitivité, vont modifier les perspectives et reléguer au second plan l’objectif de dével</w:t>
      </w:r>
      <w:r w:rsidR="0074044C">
        <w:t>oppement personnel au profit du développement de l’employabilité et de la performance.</w:t>
      </w:r>
    </w:p>
    <w:p w:rsidR="00295E85" w:rsidRDefault="00295E85" w:rsidP="00737717">
      <w:pPr>
        <w:jc w:val="both"/>
      </w:pPr>
      <w:r>
        <w:t>Pour Cédric  FRETIGNE, sociologue, o</w:t>
      </w:r>
      <w:r w:rsidR="007C3664">
        <w:t xml:space="preserve">n ne peut comprendre la situation que si on examine son contexte, les logiques sociales, </w:t>
      </w:r>
      <w:r>
        <w:t xml:space="preserve">les logiques </w:t>
      </w:r>
      <w:r w:rsidR="007C3664">
        <w:t>d’acteurs</w:t>
      </w:r>
      <w:r>
        <w:t xml:space="preserve"> : il existe un </w:t>
      </w:r>
      <w:r w:rsidR="007C3664">
        <w:t xml:space="preserve">enjeu social de la </w:t>
      </w:r>
      <w:r>
        <w:t>formation (l’enjeu de la formation aujourd’hui n’est plus celui d’il y a 30 ans). Aussi, pour Bernard MA</w:t>
      </w:r>
      <w:r w:rsidR="00737717">
        <w:t>S</w:t>
      </w:r>
      <w:r>
        <w:t xml:space="preserve">INGUE, il est </w:t>
      </w:r>
      <w:r w:rsidR="007C3664">
        <w:t xml:space="preserve"> </w:t>
      </w:r>
      <w:r w:rsidR="007C3664" w:rsidRPr="007C3664">
        <w:t>impossible d’être acteur de la formation, d’être consultant</w:t>
      </w:r>
      <w:r>
        <w:t>,</w:t>
      </w:r>
      <w:r w:rsidR="007C3664" w:rsidRPr="007C3664">
        <w:t xml:space="preserve"> sans connaître la sociologie des organisations</w:t>
      </w:r>
      <w:r>
        <w:t>. La formation est intimement liée à l’évolution du travail</w:t>
      </w:r>
      <w:r w:rsidR="00753053">
        <w:t xml:space="preserve"> et de l’économie</w:t>
      </w:r>
      <w:r>
        <w:t>.</w:t>
      </w:r>
    </w:p>
    <w:p w:rsidR="0074044C" w:rsidRDefault="00753053" w:rsidP="00737717">
      <w:pPr>
        <w:jc w:val="both"/>
      </w:pPr>
      <w:r>
        <w:t>M</w:t>
      </w:r>
      <w:r w:rsidR="00295E85">
        <w:t>ais il y a aussi un enjeu individuel</w:t>
      </w:r>
      <w:r>
        <w:t> : c’est celui de l’</w:t>
      </w:r>
      <w:r w:rsidR="00295E85">
        <w:t>apprentissage tout au long de la vie</w:t>
      </w:r>
      <w:r>
        <w:t>. Aujourd’hui, on n’exerce plus un même métier toute sa vie, on est contraint d’en changer, on a envie d’en changer ou bien on a l’opportunité d’en changer !</w:t>
      </w:r>
      <w:r w:rsidR="00295E85">
        <w:t xml:space="preserve"> </w:t>
      </w:r>
      <w:r>
        <w:t xml:space="preserve">Aujourd’hui, nous sommes dans une société où l’accès au savoir est possible d’un simple clic… </w:t>
      </w:r>
      <w:r w:rsidR="00D96704">
        <w:t xml:space="preserve">Cela transforme radicalement l’accès au savoir (avec le développement de l’autoformation) mais aussi la relation pédagogique. </w:t>
      </w:r>
    </w:p>
    <w:p w:rsidR="00245D0F" w:rsidRDefault="00245D0F" w:rsidP="00737717">
      <w:pPr>
        <w:jc w:val="both"/>
      </w:pPr>
      <w:r>
        <w:lastRenderedPageBreak/>
        <w:t xml:space="preserve">Par ailleurs, la </w:t>
      </w:r>
      <w:r w:rsidR="00295E85" w:rsidRPr="00245D0F">
        <w:rPr>
          <w:b/>
        </w:rPr>
        <w:t>Loi d</w:t>
      </w:r>
      <w:r w:rsidRPr="00245D0F">
        <w:rPr>
          <w:b/>
        </w:rPr>
        <w:t>u</w:t>
      </w:r>
      <w:r>
        <w:t xml:space="preserve"> </w:t>
      </w:r>
      <w:r>
        <w:rPr>
          <w:rStyle w:val="lev"/>
        </w:rPr>
        <w:t>25 novembre 2009, relative à l’orientation et à la formation professionnelle</w:t>
      </w:r>
      <w:r w:rsidR="00295E85" w:rsidRPr="007C3664">
        <w:t xml:space="preserve">, vise l’individualisation de la formation, </w:t>
      </w:r>
      <w:r>
        <w:t xml:space="preserve">met en avant la </w:t>
      </w:r>
      <w:r w:rsidR="00295E85" w:rsidRPr="007C3664">
        <w:t>dimension de coresponsabilité et d’engagement des agents</w:t>
      </w:r>
      <w:r>
        <w:t xml:space="preserve">. Elle vise aussi à simplifier l’accès à la formation (portabilité du DIF, simplification du plan de formation). Néanmoins, l’accès à la formation reste assez inégalitaire </w:t>
      </w:r>
      <w:r w:rsidR="0074044C">
        <w:t>(P. CARRE)</w:t>
      </w:r>
      <w:r w:rsidR="00737717">
        <w:t> : selon le secteur d’activité dans lequel on travaille, selon le niveau de dipl</w:t>
      </w:r>
      <w:r w:rsidR="00CE55F7">
        <w:t>ôme</w:t>
      </w:r>
      <w:r w:rsidR="00737717">
        <w:t xml:space="preserve"> (l’accès à la formation des publics de catégorie C est plus difficile), selon l’âge, selon la taille de l’entreprise et le contrat de travail, enfin selon la zone géographique.</w:t>
      </w:r>
    </w:p>
    <w:p w:rsidR="007C3664" w:rsidRDefault="00D96704" w:rsidP="00737717">
      <w:pPr>
        <w:jc w:val="both"/>
      </w:pPr>
      <w:r>
        <w:t xml:space="preserve">Sur un plan politique, la </w:t>
      </w:r>
      <w:r w:rsidR="00295E85" w:rsidRPr="00CE55F7">
        <w:rPr>
          <w:b/>
        </w:rPr>
        <w:t>décentralisation</w:t>
      </w:r>
      <w:r>
        <w:t xml:space="preserve"> de la formation professionnelle vers les régions a aussi profondément transformé l’organisation de la formation en </w:t>
      </w:r>
      <w:r w:rsidR="00621C56">
        <w:t xml:space="preserve">France en l’inscrivant dans une logique de territoire, au plus près des besoins et des évolutions économiques territoriales, avec comme corollaire un meilleur accès </w:t>
      </w:r>
      <w:r w:rsidR="0098615E">
        <w:t xml:space="preserve">potentiel </w:t>
      </w:r>
      <w:r w:rsidR="00621C56">
        <w:t xml:space="preserve">à la formation pour les jeunes et les adultes. </w:t>
      </w:r>
      <w:r w:rsidR="00034CB8">
        <w:t xml:space="preserve">Mais pour les grandes organisations nationales comme le CNFPT, l’AFPA, le CAFOC, la décentralisation a eu comme conséquence une entrée dans une logique de </w:t>
      </w:r>
      <w:r w:rsidR="00454EC9">
        <w:t xml:space="preserve">partenariat mais aussi de </w:t>
      </w:r>
      <w:r w:rsidR="00034CB8">
        <w:t>concurrence avec les organismes de formation privés</w:t>
      </w:r>
      <w:r w:rsidR="00454EC9">
        <w:t>,</w:t>
      </w:r>
      <w:r w:rsidR="00034CB8">
        <w:t xml:space="preserve"> compte-tenu de l’obligation </w:t>
      </w:r>
      <w:r w:rsidR="00454EC9">
        <w:t xml:space="preserve">d’entrer dans une démarche d’appel d’offre. </w:t>
      </w:r>
    </w:p>
    <w:p w:rsidR="00295E85" w:rsidRDefault="00454EC9" w:rsidP="00737717">
      <w:pPr>
        <w:jc w:val="both"/>
      </w:pPr>
      <w:r>
        <w:t xml:space="preserve">Cette </w:t>
      </w:r>
      <w:r w:rsidRPr="00CE55F7">
        <w:rPr>
          <w:b/>
        </w:rPr>
        <w:t xml:space="preserve">logique de </w:t>
      </w:r>
      <w:r w:rsidR="0098615E" w:rsidRPr="00CE55F7">
        <w:rPr>
          <w:b/>
        </w:rPr>
        <w:t xml:space="preserve">mise en  </w:t>
      </w:r>
      <w:r w:rsidRPr="00CE55F7">
        <w:rPr>
          <w:b/>
        </w:rPr>
        <w:t>concurrence</w:t>
      </w:r>
      <w:r>
        <w:t xml:space="preserve"> a été </w:t>
      </w:r>
      <w:r w:rsidR="0098615E">
        <w:t xml:space="preserve">fortement </w:t>
      </w:r>
      <w:r>
        <w:t xml:space="preserve">mise en évidence par plusieurs </w:t>
      </w:r>
      <w:r w:rsidR="0098615E">
        <w:t>intervenants</w:t>
      </w:r>
      <w:r>
        <w:rPr>
          <w:rStyle w:val="Appelnotedebasdep"/>
        </w:rPr>
        <w:footnoteReference w:id="1"/>
      </w:r>
      <w:r w:rsidR="00357366">
        <w:t>.</w:t>
      </w:r>
    </w:p>
    <w:p w:rsidR="005C216D" w:rsidRDefault="00357366" w:rsidP="00737717">
      <w:pPr>
        <w:jc w:val="both"/>
      </w:pPr>
      <w:r>
        <w:t>Certains d’entre eux évoquent l’idée d’un paradoxe : pour M. VICTOR, les GRETA ont une</w:t>
      </w:r>
      <w:r w:rsidR="005C216D" w:rsidRPr="005C216D">
        <w:t xml:space="preserve"> mission de service public dans un secteur concurrentiel</w:t>
      </w:r>
      <w:r w:rsidR="005C216D">
        <w:t>.</w:t>
      </w:r>
      <w:r>
        <w:t xml:space="preserve"> Pour J.P. MONDOU, AFPA, avec l’obligation de faire un a</w:t>
      </w:r>
      <w:r w:rsidR="005C216D" w:rsidRPr="005C216D">
        <w:t>ppel d’offre</w:t>
      </w:r>
      <w:r>
        <w:t>,</w:t>
      </w:r>
      <w:r w:rsidR="005C216D" w:rsidRPr="005C216D">
        <w:t xml:space="preserve"> on est partenaire mais aussi concurrent</w:t>
      </w:r>
      <w:r>
        <w:t xml:space="preserve">. Pour J.P. DUBECHOT (ETSUP), la </w:t>
      </w:r>
      <w:r w:rsidR="005C216D" w:rsidRPr="005C216D">
        <w:t>logique de mise en concurrence à travers des appels d’offre bouleverse totalement</w:t>
      </w:r>
      <w:r>
        <w:t xml:space="preserve"> le secteur, </w:t>
      </w:r>
      <w:r w:rsidR="005C216D" w:rsidRPr="005C216D">
        <w:t>oblige</w:t>
      </w:r>
      <w:r>
        <w:t>ant  à construire des projets. Il y a, selon B. MASINGUE, une l</w:t>
      </w:r>
      <w:r w:rsidR="005C216D" w:rsidRPr="005C216D">
        <w:t xml:space="preserve">ogique </w:t>
      </w:r>
      <w:r>
        <w:t>« </w:t>
      </w:r>
      <w:r w:rsidR="005C216D" w:rsidRPr="005C216D">
        <w:t>business</w:t>
      </w:r>
      <w:r>
        <w:t xml:space="preserve"> » et </w:t>
      </w:r>
      <w:proofErr w:type="gramStart"/>
      <w:r>
        <w:t>une</w:t>
      </w:r>
      <w:proofErr w:type="gramEnd"/>
      <w:r>
        <w:t xml:space="preserve"> </w:t>
      </w:r>
      <w:r w:rsidR="005C216D" w:rsidRPr="005C216D">
        <w:t>logique développement</w:t>
      </w:r>
      <w:r>
        <w:t xml:space="preserve"> qui s’affrontent</w:t>
      </w:r>
      <w:r w:rsidR="005C216D" w:rsidRPr="005C216D">
        <w:t xml:space="preserve"> </w:t>
      </w:r>
      <w:r w:rsidRPr="005C216D">
        <w:t xml:space="preserve">: </w:t>
      </w:r>
      <w:r>
        <w:t xml:space="preserve">l’enjeu est de </w:t>
      </w:r>
      <w:r w:rsidR="005C216D" w:rsidRPr="005C216D">
        <w:t>trouver le compromis entre 2 systèmes qui sont en tension.</w:t>
      </w:r>
      <w:r w:rsidR="0098615E">
        <w:t xml:space="preserve"> Cela peut en effet créer des déséquilibres, mais cela peut être aussi porteur de remise en question et d’innovation !</w:t>
      </w:r>
    </w:p>
    <w:p w:rsidR="007C3664" w:rsidRDefault="007C3664" w:rsidP="00737717">
      <w:pPr>
        <w:jc w:val="both"/>
      </w:pPr>
    </w:p>
    <w:p w:rsidR="007C3664" w:rsidRDefault="00606125" w:rsidP="00737717">
      <w:pPr>
        <w:jc w:val="both"/>
      </w:pPr>
      <w:r>
        <w:t>Un autre évènement majeur</w:t>
      </w:r>
      <w:r w:rsidRPr="005C216D">
        <w:t xml:space="preserve"> influen</w:t>
      </w:r>
      <w:r>
        <w:t xml:space="preserve">ce </w:t>
      </w:r>
      <w:r w:rsidRPr="005C216D">
        <w:t xml:space="preserve">la formation </w:t>
      </w:r>
      <w:r>
        <w:t>aujourd’hui, il s’agit de la problématique de l’emploi des jeunes. En effet, ceux-ci entrent plus tardivement sur le marché du travail (études plus longues, crise de l’emploi). D’autre part, de plus en plus de jeunes sortent du système scolaire sans diplôme et en situation d’</w:t>
      </w:r>
      <w:proofErr w:type="spellStart"/>
      <w:r>
        <w:t>inemployabilité</w:t>
      </w:r>
      <w:proofErr w:type="spellEnd"/>
      <w:r>
        <w:t xml:space="preserve">. </w:t>
      </w:r>
    </w:p>
    <w:p w:rsidR="00CE55F7" w:rsidRDefault="00CE55F7" w:rsidP="00737717">
      <w:pPr>
        <w:spacing w:after="0" w:line="240" w:lineRule="auto"/>
        <w:jc w:val="both"/>
      </w:pPr>
    </w:p>
    <w:p w:rsidR="00C35EA8" w:rsidRDefault="00C35EA8" w:rsidP="00737717">
      <w:pPr>
        <w:spacing w:after="0" w:line="240" w:lineRule="auto"/>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 xml:space="preserve">On peut, selon J. BAHRI, envisager l’évolution des métiers de la formation </w:t>
      </w:r>
      <w:r w:rsidR="006813CA">
        <w:rPr>
          <w:rFonts w:ascii="Calibri" w:eastAsia="Times New Roman" w:hAnsi="Calibri" w:cs="Times New Roman"/>
          <w:color w:val="000000"/>
          <w:szCs w:val="20"/>
          <w:lang w:eastAsia="fr-FR"/>
        </w:rPr>
        <w:t>selon 4 axes</w:t>
      </w:r>
      <w:r>
        <w:rPr>
          <w:rFonts w:ascii="Calibri" w:eastAsia="Times New Roman" w:hAnsi="Calibri" w:cs="Times New Roman"/>
          <w:color w:val="000000"/>
          <w:szCs w:val="20"/>
          <w:lang w:eastAsia="fr-FR"/>
        </w:rPr>
        <w:t xml:space="preserve"> : </w:t>
      </w:r>
    </w:p>
    <w:p w:rsidR="00C35EA8" w:rsidRDefault="00C35EA8" w:rsidP="00737717">
      <w:pPr>
        <w:spacing w:after="0" w:line="240" w:lineRule="auto"/>
        <w:jc w:val="both"/>
        <w:rPr>
          <w:rFonts w:ascii="Calibri" w:eastAsia="Times New Roman" w:hAnsi="Calibri" w:cs="Times New Roman"/>
          <w:color w:val="000000"/>
          <w:szCs w:val="20"/>
          <w:lang w:eastAsia="fr-FR"/>
        </w:rPr>
      </w:pPr>
    </w:p>
    <w:p w:rsidR="00C35EA8" w:rsidRPr="00B6515E" w:rsidRDefault="00C35EA8" w:rsidP="00737717">
      <w:pPr>
        <w:pStyle w:val="Paragraphedeliste"/>
        <w:numPr>
          <w:ilvl w:val="0"/>
          <w:numId w:val="2"/>
        </w:numPr>
        <w:spacing w:after="0"/>
        <w:jc w:val="both"/>
        <w:rPr>
          <w:rFonts w:ascii="Calibri" w:eastAsia="Times New Roman" w:hAnsi="Calibri" w:cs="Times New Roman"/>
          <w:color w:val="000000"/>
          <w:szCs w:val="20"/>
          <w:lang w:eastAsia="fr-FR"/>
        </w:rPr>
      </w:pPr>
      <w:r w:rsidRPr="00CE55F7">
        <w:rPr>
          <w:rFonts w:ascii="Calibri" w:eastAsia="Times New Roman" w:hAnsi="Calibri" w:cs="Times New Roman"/>
          <w:color w:val="000000"/>
          <w:szCs w:val="20"/>
          <w:u w:val="single"/>
          <w:lang w:eastAsia="fr-FR"/>
        </w:rPr>
        <w:t>Juridique</w:t>
      </w:r>
      <w:r>
        <w:rPr>
          <w:rFonts w:ascii="Calibri" w:eastAsia="Times New Roman" w:hAnsi="Calibri" w:cs="Times New Roman"/>
          <w:color w:val="000000"/>
          <w:szCs w:val="20"/>
          <w:lang w:eastAsia="fr-FR"/>
        </w:rPr>
        <w:t xml:space="preserve"> : </w:t>
      </w:r>
    </w:p>
    <w:p w:rsidR="00C35EA8" w:rsidRDefault="00C35EA8" w:rsidP="00737717">
      <w:pPr>
        <w:spacing w:after="0"/>
        <w:jc w:val="both"/>
        <w:rPr>
          <w:rFonts w:ascii="Calibri" w:eastAsia="Times New Roman" w:hAnsi="Calibri" w:cs="Times New Roman"/>
          <w:color w:val="000000"/>
          <w:szCs w:val="20"/>
          <w:lang w:eastAsia="fr-FR"/>
        </w:rPr>
      </w:pPr>
      <w:r w:rsidRPr="00C35EA8">
        <w:rPr>
          <w:rFonts w:ascii="Calibri" w:eastAsia="Times New Roman" w:hAnsi="Calibri" w:cs="Times New Roman"/>
          <w:color w:val="000000"/>
          <w:szCs w:val="20"/>
          <w:lang w:eastAsia="fr-FR"/>
        </w:rPr>
        <w:t xml:space="preserve">Le poids du juridique est très important : les textes régissant l’organisation de la formation sont un </w:t>
      </w:r>
      <w:r>
        <w:rPr>
          <w:rFonts w:ascii="Calibri" w:eastAsia="Times New Roman" w:hAnsi="Calibri" w:cs="Times New Roman"/>
          <w:color w:val="000000"/>
          <w:szCs w:val="20"/>
          <w:lang w:eastAsia="fr-FR"/>
        </w:rPr>
        <w:t>atout mais représentent aussi une forte contrainte. Les décrets d’application peinent à paraitre, le dispositif est complexe et contraint. Le contrôle de l’Etat reste fort.</w:t>
      </w:r>
      <w:r w:rsidR="006813CA">
        <w:rPr>
          <w:rFonts w:ascii="Calibri" w:eastAsia="Times New Roman" w:hAnsi="Calibri" w:cs="Times New Roman"/>
          <w:color w:val="000000"/>
          <w:szCs w:val="20"/>
          <w:lang w:eastAsia="fr-FR"/>
        </w:rPr>
        <w:t xml:space="preserve"> </w:t>
      </w:r>
    </w:p>
    <w:p w:rsidR="00C35EA8" w:rsidRDefault="00C35EA8" w:rsidP="00737717">
      <w:pPr>
        <w:spacing w:after="0"/>
        <w:jc w:val="both"/>
        <w:rPr>
          <w:rFonts w:ascii="Calibri" w:eastAsia="Times New Roman" w:hAnsi="Calibri" w:cs="Times New Roman"/>
          <w:color w:val="000000"/>
          <w:szCs w:val="20"/>
          <w:lang w:eastAsia="fr-FR"/>
        </w:rPr>
      </w:pPr>
    </w:p>
    <w:p w:rsidR="00C35EA8" w:rsidRDefault="00C35EA8" w:rsidP="00737717">
      <w:pPr>
        <w:pStyle w:val="Paragraphedeliste"/>
        <w:numPr>
          <w:ilvl w:val="0"/>
          <w:numId w:val="2"/>
        </w:numPr>
        <w:spacing w:after="0"/>
        <w:jc w:val="both"/>
        <w:rPr>
          <w:rFonts w:ascii="Calibri" w:eastAsia="Times New Roman" w:hAnsi="Calibri" w:cs="Times New Roman"/>
          <w:color w:val="000000"/>
          <w:szCs w:val="20"/>
          <w:lang w:eastAsia="fr-FR"/>
        </w:rPr>
      </w:pPr>
      <w:r w:rsidRPr="00CE55F7">
        <w:rPr>
          <w:rFonts w:ascii="Calibri" w:eastAsia="Times New Roman" w:hAnsi="Calibri" w:cs="Times New Roman"/>
          <w:color w:val="000000"/>
          <w:szCs w:val="20"/>
          <w:u w:val="single"/>
          <w:lang w:eastAsia="fr-FR"/>
        </w:rPr>
        <w:lastRenderedPageBreak/>
        <w:t>Economique</w:t>
      </w:r>
      <w:r>
        <w:rPr>
          <w:rFonts w:ascii="Calibri" w:eastAsia="Times New Roman" w:hAnsi="Calibri" w:cs="Times New Roman"/>
          <w:color w:val="000000"/>
          <w:szCs w:val="20"/>
          <w:lang w:eastAsia="fr-FR"/>
        </w:rPr>
        <w:t> :</w:t>
      </w:r>
    </w:p>
    <w:p w:rsidR="00B24A5D" w:rsidRDefault="00C35EA8" w:rsidP="00737717">
      <w:pPr>
        <w:spacing w:after="0"/>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L’</w:t>
      </w:r>
      <w:r w:rsidR="00B6515E">
        <w:rPr>
          <w:rFonts w:ascii="Calibri" w:eastAsia="Times New Roman" w:hAnsi="Calibri" w:cs="Times New Roman"/>
          <w:color w:val="000000"/>
          <w:szCs w:val="20"/>
          <w:lang w:eastAsia="fr-FR"/>
        </w:rPr>
        <w:t xml:space="preserve">un des </w:t>
      </w:r>
      <w:r>
        <w:rPr>
          <w:rFonts w:ascii="Calibri" w:eastAsia="Times New Roman" w:hAnsi="Calibri" w:cs="Times New Roman"/>
          <w:color w:val="000000"/>
          <w:szCs w:val="20"/>
          <w:lang w:eastAsia="fr-FR"/>
        </w:rPr>
        <w:t>effet</w:t>
      </w:r>
      <w:r w:rsidR="00B6515E">
        <w:rPr>
          <w:rFonts w:ascii="Calibri" w:eastAsia="Times New Roman" w:hAnsi="Calibri" w:cs="Times New Roman"/>
          <w:color w:val="000000"/>
          <w:szCs w:val="20"/>
          <w:lang w:eastAsia="fr-FR"/>
        </w:rPr>
        <w:t>s</w:t>
      </w:r>
      <w:r>
        <w:rPr>
          <w:rFonts w:ascii="Calibri" w:eastAsia="Times New Roman" w:hAnsi="Calibri" w:cs="Times New Roman"/>
          <w:color w:val="000000"/>
          <w:szCs w:val="20"/>
          <w:lang w:eastAsia="fr-FR"/>
        </w:rPr>
        <w:t xml:space="preserve"> des appels d’offre </w:t>
      </w:r>
      <w:r w:rsidR="00B6515E">
        <w:rPr>
          <w:rFonts w:ascii="Calibri" w:eastAsia="Times New Roman" w:hAnsi="Calibri" w:cs="Times New Roman"/>
          <w:color w:val="000000"/>
          <w:szCs w:val="20"/>
          <w:lang w:eastAsia="fr-FR"/>
        </w:rPr>
        <w:t xml:space="preserve">est de favoriser les grosses structures (qui </w:t>
      </w:r>
      <w:r w:rsidR="004257C1">
        <w:rPr>
          <w:rFonts w:ascii="Calibri" w:eastAsia="Times New Roman" w:hAnsi="Calibri" w:cs="Times New Roman"/>
          <w:color w:val="000000"/>
          <w:szCs w:val="20"/>
          <w:lang w:eastAsia="fr-FR"/>
        </w:rPr>
        <w:t>re</w:t>
      </w:r>
      <w:r w:rsidR="00B6515E">
        <w:rPr>
          <w:rFonts w:ascii="Calibri" w:eastAsia="Times New Roman" w:hAnsi="Calibri" w:cs="Times New Roman"/>
          <w:color w:val="000000"/>
          <w:szCs w:val="20"/>
          <w:lang w:eastAsia="fr-FR"/>
        </w:rPr>
        <w:t xml:space="preserve">présentent davantage de moyens et qui rassurent dans un contexte de difficultés économiques) au dépends des petites (plus expertes peut-être mais aussi plus fragiles). </w:t>
      </w:r>
      <w:r w:rsidR="005B04F6">
        <w:rPr>
          <w:rFonts w:ascii="Calibri" w:eastAsia="Times New Roman" w:hAnsi="Calibri" w:cs="Times New Roman"/>
          <w:color w:val="000000"/>
          <w:szCs w:val="20"/>
          <w:lang w:eastAsia="fr-FR"/>
        </w:rPr>
        <w:t>Néanmoins, l’exigence de qualité peut favoriser les petites structures, dès lors qu’elles sont en mesure de démontrer leur expertise ; « </w:t>
      </w:r>
      <w:r w:rsidR="005B04F6" w:rsidRPr="00C35EA8">
        <w:rPr>
          <w:rFonts w:ascii="Calibri" w:eastAsia="Times New Roman" w:hAnsi="Calibri" w:cs="Times New Roman"/>
          <w:i/>
          <w:color w:val="000000"/>
          <w:szCs w:val="20"/>
          <w:lang w:eastAsia="fr-FR"/>
        </w:rPr>
        <w:t>L’avenir est au tout petit ou au très gros : le gros ne pourra jamais avoir les compétences pointues, le petit expert pourra traiter avec le gros !</w:t>
      </w:r>
      <w:r w:rsidR="005B04F6">
        <w:rPr>
          <w:rFonts w:ascii="Calibri" w:eastAsia="Times New Roman" w:hAnsi="Calibri" w:cs="Times New Roman"/>
          <w:color w:val="000000"/>
          <w:szCs w:val="20"/>
          <w:lang w:eastAsia="fr-FR"/>
        </w:rPr>
        <w:t> »</w:t>
      </w:r>
      <w:r w:rsidR="004257C1">
        <w:rPr>
          <w:rFonts w:ascii="Calibri" w:eastAsia="Times New Roman" w:hAnsi="Calibri" w:cs="Times New Roman"/>
          <w:color w:val="000000"/>
          <w:szCs w:val="20"/>
          <w:lang w:eastAsia="fr-FR"/>
        </w:rPr>
        <w:t xml:space="preserve"> (J. BAHRI)</w:t>
      </w:r>
      <w:r w:rsidR="00B24A5D">
        <w:rPr>
          <w:rFonts w:ascii="Calibri" w:eastAsia="Times New Roman" w:hAnsi="Calibri" w:cs="Times New Roman"/>
          <w:color w:val="000000"/>
          <w:szCs w:val="20"/>
          <w:lang w:eastAsia="fr-FR"/>
        </w:rPr>
        <w:t xml:space="preserve">. </w:t>
      </w:r>
    </w:p>
    <w:p w:rsidR="00CE55F7" w:rsidRDefault="00B24A5D" w:rsidP="00CE55F7">
      <w:pPr>
        <w:spacing w:after="0"/>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L’avenir est aussi au travail en réseaux : développement de partenariats et de coopération au sein des territoires.</w:t>
      </w:r>
    </w:p>
    <w:p w:rsidR="00C35EA8" w:rsidRDefault="005B04F6" w:rsidP="00CE55F7">
      <w:pPr>
        <w:spacing w:after="0"/>
        <w:jc w:val="both"/>
        <w:rPr>
          <w:rFonts w:ascii="Calibri" w:eastAsia="Times New Roman" w:hAnsi="Calibri" w:cs="Times New Roman"/>
          <w:color w:val="000000"/>
          <w:szCs w:val="20"/>
          <w:lang w:eastAsia="fr-FR"/>
        </w:rPr>
      </w:pPr>
      <w:r w:rsidRPr="00C35EA8">
        <w:rPr>
          <w:rFonts w:ascii="Calibri" w:eastAsia="Times New Roman" w:hAnsi="Calibri" w:cs="Times New Roman"/>
          <w:color w:val="000000"/>
          <w:szCs w:val="20"/>
          <w:lang w:eastAsia="fr-FR"/>
        </w:rPr>
        <w:br/>
      </w:r>
      <w:r w:rsidR="00B6515E">
        <w:rPr>
          <w:rFonts w:ascii="Calibri" w:eastAsia="Times New Roman" w:hAnsi="Calibri" w:cs="Times New Roman"/>
          <w:color w:val="000000"/>
          <w:szCs w:val="20"/>
          <w:lang w:eastAsia="fr-FR"/>
        </w:rPr>
        <w:t>On se dirige aussi vers la professionnalisation du commerce de la formation avec le développement de techniques d’achat, la nécessité de faire du chiffre d’affaires et de se développer dans une logique de marché.</w:t>
      </w:r>
      <w:r w:rsidR="00B2211C">
        <w:rPr>
          <w:rFonts w:ascii="Calibri" w:eastAsia="Times New Roman" w:hAnsi="Calibri" w:cs="Times New Roman"/>
          <w:color w:val="000000"/>
          <w:szCs w:val="20"/>
          <w:lang w:eastAsia="fr-FR"/>
        </w:rPr>
        <w:t xml:space="preserve"> Pour B. ALIX, les conseillers formation dans les entreprises sont devenus des gestionnaires de formation, des acheteurs : ils se retrouvent face à des intervenants experts formateurs qui ne parlent pas le même langage. Il est important que les formateurs prennent conscience des compétences qu’il leur faut acquérir pour pouvoir se situer et prendre toute leur place dans le débat.</w:t>
      </w:r>
    </w:p>
    <w:p w:rsidR="00B6515E" w:rsidRPr="00C35EA8" w:rsidRDefault="00B6515E" w:rsidP="00737717">
      <w:pPr>
        <w:spacing w:after="0"/>
        <w:jc w:val="both"/>
        <w:rPr>
          <w:rFonts w:ascii="Calibri" w:eastAsia="Times New Roman" w:hAnsi="Calibri" w:cs="Times New Roman"/>
          <w:color w:val="000000"/>
          <w:szCs w:val="20"/>
          <w:lang w:eastAsia="fr-FR"/>
        </w:rPr>
      </w:pPr>
    </w:p>
    <w:p w:rsidR="00C35EA8" w:rsidRPr="00CE55F7" w:rsidRDefault="00C35EA8" w:rsidP="00737717">
      <w:pPr>
        <w:pStyle w:val="Paragraphedeliste"/>
        <w:numPr>
          <w:ilvl w:val="0"/>
          <w:numId w:val="2"/>
        </w:numPr>
        <w:spacing w:after="0"/>
        <w:jc w:val="both"/>
        <w:rPr>
          <w:rFonts w:ascii="Calibri" w:eastAsia="Times New Roman" w:hAnsi="Calibri" w:cs="Times New Roman"/>
          <w:color w:val="000000"/>
          <w:szCs w:val="20"/>
          <w:u w:val="single"/>
          <w:lang w:eastAsia="fr-FR"/>
        </w:rPr>
      </w:pPr>
      <w:r w:rsidRPr="00CE55F7">
        <w:rPr>
          <w:rFonts w:ascii="Calibri" w:eastAsia="Times New Roman" w:hAnsi="Calibri" w:cs="Times New Roman"/>
          <w:color w:val="000000"/>
          <w:szCs w:val="20"/>
          <w:u w:val="single"/>
          <w:lang w:eastAsia="fr-FR"/>
        </w:rPr>
        <w:t>Sociologique</w:t>
      </w:r>
    </w:p>
    <w:p w:rsidR="00B6515E" w:rsidRDefault="00B6515E" w:rsidP="00737717">
      <w:pPr>
        <w:spacing w:after="0"/>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Il y a une forte demande d’individualisation de la formation, on parle de « parcours individualisés»</w:t>
      </w:r>
      <w:r w:rsidR="00B24A5D">
        <w:rPr>
          <w:rFonts w:ascii="Calibri" w:eastAsia="Times New Roman" w:hAnsi="Calibri" w:cs="Times New Roman"/>
          <w:color w:val="000000"/>
          <w:szCs w:val="20"/>
          <w:lang w:eastAsia="fr-FR"/>
        </w:rPr>
        <w:t xml:space="preserve"> </w:t>
      </w:r>
      <w:r w:rsidR="005B04F6">
        <w:rPr>
          <w:rFonts w:ascii="Calibri" w:eastAsia="Times New Roman" w:hAnsi="Calibri" w:cs="Times New Roman"/>
          <w:color w:val="000000"/>
          <w:szCs w:val="20"/>
          <w:lang w:eastAsia="fr-FR"/>
        </w:rPr>
        <w:t xml:space="preserve">(E2C) </w:t>
      </w:r>
      <w:r>
        <w:rPr>
          <w:rFonts w:ascii="Calibri" w:eastAsia="Times New Roman" w:hAnsi="Calibri" w:cs="Times New Roman"/>
          <w:color w:val="000000"/>
          <w:szCs w:val="20"/>
          <w:lang w:eastAsia="fr-FR"/>
        </w:rPr>
        <w:t xml:space="preserve"> et de formation tout au long de la vie. La France reste encore dans une logique de certification par un diplôme</w:t>
      </w:r>
      <w:r w:rsidR="005B04F6">
        <w:rPr>
          <w:rFonts w:ascii="Calibri" w:eastAsia="Times New Roman" w:hAnsi="Calibri" w:cs="Times New Roman"/>
          <w:color w:val="000000"/>
          <w:szCs w:val="20"/>
          <w:lang w:eastAsia="fr-FR"/>
        </w:rPr>
        <w:t>. A</w:t>
      </w:r>
      <w:r>
        <w:rPr>
          <w:rFonts w:ascii="Calibri" w:eastAsia="Times New Roman" w:hAnsi="Calibri" w:cs="Times New Roman"/>
          <w:color w:val="000000"/>
          <w:szCs w:val="20"/>
          <w:lang w:eastAsia="fr-FR"/>
        </w:rPr>
        <w:t>ussi les organismes labellisés, ceux qui offrent des formations qualifiantes</w:t>
      </w:r>
      <w:r w:rsidR="005B04F6">
        <w:rPr>
          <w:rFonts w:ascii="Calibri" w:eastAsia="Times New Roman" w:hAnsi="Calibri" w:cs="Times New Roman"/>
          <w:color w:val="000000"/>
          <w:szCs w:val="20"/>
          <w:lang w:eastAsia="fr-FR"/>
        </w:rPr>
        <w:t>,</w:t>
      </w:r>
      <w:r>
        <w:rPr>
          <w:rFonts w:ascii="Calibri" w:eastAsia="Times New Roman" w:hAnsi="Calibri" w:cs="Times New Roman"/>
          <w:color w:val="000000"/>
          <w:szCs w:val="20"/>
          <w:lang w:eastAsia="fr-FR"/>
        </w:rPr>
        <w:t xml:space="preserve"> ont le vent en poupe. </w:t>
      </w:r>
    </w:p>
    <w:p w:rsidR="005B04F6" w:rsidRDefault="005B04F6" w:rsidP="00737717">
      <w:pPr>
        <w:spacing w:after="0"/>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 xml:space="preserve">Les formations professionnalisantes ont la côte : l’AFPA intervient dans le domaine de l’insertion professionnelle, dans le maintien dans l’emploi et dans la reconversion professionnelle. D’autres écoles comme les IFSI ou l’ETSUP proposent des formations courtes qui débouchent sur un métier et une employabilité qui reste bonne. </w:t>
      </w:r>
      <w:r w:rsidR="006B4A80">
        <w:rPr>
          <w:rFonts w:ascii="Calibri" w:eastAsia="Times New Roman" w:hAnsi="Calibri" w:cs="Times New Roman"/>
          <w:color w:val="000000"/>
          <w:szCs w:val="20"/>
          <w:lang w:eastAsia="fr-FR"/>
        </w:rPr>
        <w:t xml:space="preserve">L’école de la deuxième chance </w:t>
      </w:r>
      <w:r w:rsidR="006813CA">
        <w:rPr>
          <w:rFonts w:ascii="Calibri" w:eastAsia="Times New Roman" w:hAnsi="Calibri" w:cs="Times New Roman"/>
          <w:color w:val="000000"/>
          <w:szCs w:val="20"/>
          <w:lang w:eastAsia="fr-FR"/>
        </w:rPr>
        <w:t xml:space="preserve">(E2C) </w:t>
      </w:r>
      <w:r w:rsidR="006B4A80">
        <w:rPr>
          <w:rFonts w:ascii="Calibri" w:eastAsia="Times New Roman" w:hAnsi="Calibri" w:cs="Times New Roman"/>
          <w:color w:val="000000"/>
          <w:szCs w:val="20"/>
          <w:lang w:eastAsia="fr-FR"/>
        </w:rPr>
        <w:t xml:space="preserve">a fait de l’accompagnement personnalisé à la construction du projet professionnel sa spécialité. </w:t>
      </w:r>
      <w:r>
        <w:rPr>
          <w:rFonts w:ascii="Calibri" w:eastAsia="Times New Roman" w:hAnsi="Calibri" w:cs="Times New Roman"/>
          <w:color w:val="000000"/>
          <w:szCs w:val="20"/>
          <w:lang w:eastAsia="fr-FR"/>
        </w:rPr>
        <w:t xml:space="preserve"> </w:t>
      </w:r>
    </w:p>
    <w:p w:rsidR="00CE55F7" w:rsidRDefault="00CE55F7" w:rsidP="00737717">
      <w:pPr>
        <w:spacing w:after="0"/>
        <w:jc w:val="both"/>
        <w:rPr>
          <w:rFonts w:ascii="Calibri" w:eastAsia="Times New Roman" w:hAnsi="Calibri" w:cs="Times New Roman"/>
          <w:color w:val="000000"/>
          <w:szCs w:val="20"/>
          <w:lang w:eastAsia="fr-FR"/>
        </w:rPr>
      </w:pPr>
    </w:p>
    <w:p w:rsidR="00B6515E" w:rsidRDefault="00B6515E" w:rsidP="00737717">
      <w:pPr>
        <w:spacing w:after="0"/>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Par ailleurs, les métiers de la formation représentent un des secteurs qui résistent à la crise. Selon C. FRETIGNE, depuis les années 80, c’est un secteur en forte expansion</w:t>
      </w:r>
      <w:r w:rsidR="005B04F6">
        <w:rPr>
          <w:rFonts w:ascii="Calibri" w:eastAsia="Times New Roman" w:hAnsi="Calibri" w:cs="Times New Roman"/>
          <w:color w:val="000000"/>
          <w:szCs w:val="20"/>
          <w:lang w:eastAsia="fr-FR"/>
        </w:rPr>
        <w:t xml:space="preserve"> mais celui-ci est très segmenté. </w:t>
      </w:r>
      <w:r w:rsidR="006B4A80">
        <w:rPr>
          <w:rFonts w:ascii="Calibri" w:eastAsia="Times New Roman" w:hAnsi="Calibri" w:cs="Times New Roman"/>
          <w:color w:val="000000"/>
          <w:szCs w:val="20"/>
          <w:lang w:eastAsia="fr-FR"/>
        </w:rPr>
        <w:t>En 1994, le centre INFFO publie un répertoire des métiers de la formation qui permet aux professionnels exerçant dans ce champ de se reconnaitre une identité commune.</w:t>
      </w:r>
      <w:r w:rsidR="005B04F6">
        <w:rPr>
          <w:rFonts w:ascii="Calibri" w:eastAsia="Times New Roman" w:hAnsi="Calibri" w:cs="Times New Roman"/>
          <w:color w:val="000000"/>
          <w:szCs w:val="20"/>
          <w:lang w:eastAsia="fr-FR"/>
        </w:rPr>
        <w:t xml:space="preserve"> </w:t>
      </w:r>
      <w:r>
        <w:rPr>
          <w:rFonts w:ascii="Calibri" w:eastAsia="Times New Roman" w:hAnsi="Calibri" w:cs="Times New Roman"/>
          <w:color w:val="000000"/>
          <w:szCs w:val="20"/>
          <w:lang w:eastAsia="fr-FR"/>
        </w:rPr>
        <w:t xml:space="preserve"> </w:t>
      </w:r>
    </w:p>
    <w:p w:rsidR="005B04F6" w:rsidRPr="00CE55F7" w:rsidRDefault="005B04F6" w:rsidP="00737717">
      <w:pPr>
        <w:spacing w:after="0"/>
        <w:jc w:val="both"/>
        <w:rPr>
          <w:rFonts w:ascii="Calibri" w:eastAsia="Times New Roman" w:hAnsi="Calibri" w:cs="Times New Roman"/>
          <w:color w:val="000000"/>
          <w:szCs w:val="20"/>
          <w:u w:val="single"/>
          <w:lang w:eastAsia="fr-FR"/>
        </w:rPr>
      </w:pPr>
    </w:p>
    <w:p w:rsidR="00C35EA8" w:rsidRPr="00CE55F7" w:rsidRDefault="00C35EA8" w:rsidP="00737717">
      <w:pPr>
        <w:pStyle w:val="Paragraphedeliste"/>
        <w:numPr>
          <w:ilvl w:val="0"/>
          <w:numId w:val="2"/>
        </w:numPr>
        <w:spacing w:after="0"/>
        <w:jc w:val="both"/>
        <w:rPr>
          <w:rFonts w:ascii="Calibri" w:eastAsia="Times New Roman" w:hAnsi="Calibri" w:cs="Times New Roman"/>
          <w:color w:val="000000"/>
          <w:szCs w:val="20"/>
          <w:u w:val="single"/>
          <w:lang w:eastAsia="fr-FR"/>
        </w:rPr>
      </w:pPr>
      <w:r w:rsidRPr="00CE55F7">
        <w:rPr>
          <w:rFonts w:ascii="Calibri" w:eastAsia="Times New Roman" w:hAnsi="Calibri" w:cs="Times New Roman"/>
          <w:color w:val="000000"/>
          <w:szCs w:val="20"/>
          <w:u w:val="single"/>
          <w:lang w:eastAsia="fr-FR"/>
        </w:rPr>
        <w:t xml:space="preserve">Technologique </w:t>
      </w:r>
    </w:p>
    <w:p w:rsidR="00C35EA8" w:rsidRDefault="006B4A80" w:rsidP="00737717">
      <w:pPr>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 xml:space="preserve">Avec la révolution numérique, l’accès et le rapport au savoir ont été transformé. </w:t>
      </w:r>
      <w:r w:rsidR="006813CA">
        <w:rPr>
          <w:rFonts w:ascii="Calibri" w:eastAsia="Times New Roman" w:hAnsi="Calibri" w:cs="Times New Roman"/>
          <w:color w:val="000000"/>
          <w:szCs w:val="20"/>
          <w:lang w:eastAsia="fr-FR"/>
        </w:rPr>
        <w:t xml:space="preserve">On ne peut plus réduire la formation à des dispositifs formels (P. CARRE). </w:t>
      </w:r>
      <w:r>
        <w:rPr>
          <w:rFonts w:ascii="Calibri" w:eastAsia="Times New Roman" w:hAnsi="Calibri" w:cs="Times New Roman"/>
          <w:color w:val="000000"/>
          <w:szCs w:val="20"/>
          <w:lang w:eastAsia="fr-FR"/>
        </w:rPr>
        <w:t>Les FOAD se développent. Les unités de lieux et de temps ont changé. L’apprenant a une autonomie de plus en plus grande</w:t>
      </w:r>
      <w:r w:rsidR="006813CA">
        <w:rPr>
          <w:rFonts w:ascii="Calibri" w:eastAsia="Times New Roman" w:hAnsi="Calibri" w:cs="Times New Roman"/>
          <w:color w:val="000000"/>
          <w:szCs w:val="20"/>
          <w:lang w:eastAsia="fr-FR"/>
        </w:rPr>
        <w:t xml:space="preserve"> (autoformation)</w:t>
      </w:r>
      <w:r>
        <w:rPr>
          <w:rFonts w:ascii="Calibri" w:eastAsia="Times New Roman" w:hAnsi="Calibri" w:cs="Times New Roman"/>
          <w:color w:val="000000"/>
          <w:szCs w:val="20"/>
          <w:lang w:eastAsia="fr-FR"/>
        </w:rPr>
        <w:t xml:space="preserve">. La formation tout au long de la vie se développe. </w:t>
      </w:r>
    </w:p>
    <w:p w:rsidR="006B4A80" w:rsidRDefault="006B4A80" w:rsidP="00737717">
      <w:pPr>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 xml:space="preserve">Par conséquent, l’approche pédagogique et la posture du formateur sont en grande mutation. On comprend la nécessité de construire des dispositifs ouverts </w:t>
      </w:r>
      <w:r w:rsidR="004257C1">
        <w:rPr>
          <w:rFonts w:ascii="Calibri" w:eastAsia="Times New Roman" w:hAnsi="Calibri" w:cs="Times New Roman"/>
          <w:color w:val="000000"/>
          <w:szCs w:val="20"/>
          <w:lang w:eastAsia="fr-FR"/>
        </w:rPr>
        <w:t xml:space="preserve">très réfléchis en amont car si le formateur n’est plus en face à face pédagogique constant, il doit faire en sorte que le dispositif soit </w:t>
      </w:r>
      <w:r w:rsidR="00B2211C">
        <w:rPr>
          <w:rFonts w:ascii="Calibri" w:eastAsia="Times New Roman" w:hAnsi="Calibri" w:cs="Times New Roman"/>
          <w:color w:val="000000"/>
          <w:szCs w:val="20"/>
          <w:lang w:eastAsia="fr-FR"/>
        </w:rPr>
        <w:t xml:space="preserve">innovant, </w:t>
      </w:r>
      <w:r w:rsidR="004257C1">
        <w:rPr>
          <w:rFonts w:ascii="Calibri" w:eastAsia="Times New Roman" w:hAnsi="Calibri" w:cs="Times New Roman"/>
          <w:color w:val="000000"/>
          <w:szCs w:val="20"/>
          <w:lang w:eastAsia="fr-FR"/>
        </w:rPr>
        <w:t xml:space="preserve">pertinent, sécurisant et permette l’atteinte des objectifs. </w:t>
      </w:r>
    </w:p>
    <w:p w:rsidR="00B24A5D" w:rsidRDefault="00B24A5D" w:rsidP="00737717">
      <w:pPr>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lastRenderedPageBreak/>
        <w:t>Le formateur doit être « </w:t>
      </w:r>
      <w:proofErr w:type="spellStart"/>
      <w:r>
        <w:rPr>
          <w:rFonts w:ascii="Calibri" w:eastAsia="Times New Roman" w:hAnsi="Calibri" w:cs="Times New Roman"/>
          <w:color w:val="000000"/>
          <w:szCs w:val="20"/>
          <w:lang w:eastAsia="fr-FR"/>
        </w:rPr>
        <w:t>technofluent</w:t>
      </w:r>
      <w:proofErr w:type="spellEnd"/>
      <w:r>
        <w:rPr>
          <w:rFonts w:ascii="Calibri" w:eastAsia="Times New Roman" w:hAnsi="Calibri" w:cs="Times New Roman"/>
          <w:color w:val="000000"/>
          <w:szCs w:val="20"/>
          <w:lang w:eastAsia="fr-FR"/>
        </w:rPr>
        <w:t> » : il doit utiliser les nouvelles technologies au service des objectifs pédagogiques.</w:t>
      </w:r>
      <w:r w:rsidR="00B2211C">
        <w:rPr>
          <w:rFonts w:ascii="Calibri" w:eastAsia="Times New Roman" w:hAnsi="Calibri" w:cs="Times New Roman"/>
          <w:color w:val="000000"/>
          <w:szCs w:val="20"/>
          <w:lang w:eastAsia="fr-FR"/>
        </w:rPr>
        <w:t xml:space="preserve"> </w:t>
      </w:r>
    </w:p>
    <w:p w:rsidR="004257C1" w:rsidRDefault="004257C1" w:rsidP="00737717">
      <w:pPr>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C’est ainsi qu’est apparu dans le milieu de la formation le concept d’</w:t>
      </w:r>
      <w:r w:rsidRPr="00102443">
        <w:rPr>
          <w:rFonts w:ascii="Calibri" w:eastAsia="Times New Roman" w:hAnsi="Calibri" w:cs="Times New Roman"/>
          <w:b/>
          <w:color w:val="000000"/>
          <w:szCs w:val="20"/>
          <w:lang w:eastAsia="fr-FR"/>
        </w:rPr>
        <w:t>ingénierie</w:t>
      </w:r>
      <w:r w:rsidR="00B24A5D">
        <w:rPr>
          <w:rFonts w:ascii="Calibri" w:eastAsia="Times New Roman" w:hAnsi="Calibri" w:cs="Times New Roman"/>
          <w:color w:val="000000"/>
          <w:szCs w:val="20"/>
          <w:lang w:eastAsia="fr-FR"/>
        </w:rPr>
        <w:t> : on parle d’ingénierie de formation</w:t>
      </w:r>
      <w:r>
        <w:rPr>
          <w:rFonts w:ascii="Calibri" w:eastAsia="Times New Roman" w:hAnsi="Calibri" w:cs="Times New Roman"/>
          <w:color w:val="000000"/>
          <w:szCs w:val="20"/>
          <w:lang w:eastAsia="fr-FR"/>
        </w:rPr>
        <w:t xml:space="preserve"> et d’ingénierie pédagogique. Les sciences de l’ingénieur représentent un atout dans ce contexte, grâce à leur méthodologie de résolution de problèmes (B. MASINGUE). </w:t>
      </w:r>
      <w:r w:rsidR="00FD2C11">
        <w:rPr>
          <w:rFonts w:ascii="Calibri" w:eastAsia="Times New Roman" w:hAnsi="Calibri" w:cs="Times New Roman"/>
          <w:color w:val="000000"/>
          <w:szCs w:val="20"/>
          <w:lang w:eastAsia="fr-FR"/>
        </w:rPr>
        <w:t xml:space="preserve">Plusieurs </w:t>
      </w:r>
      <w:r w:rsidR="006813CA">
        <w:rPr>
          <w:rFonts w:ascii="Calibri" w:eastAsia="Times New Roman" w:hAnsi="Calibri" w:cs="Times New Roman"/>
          <w:color w:val="000000"/>
          <w:szCs w:val="20"/>
          <w:lang w:eastAsia="fr-FR"/>
        </w:rPr>
        <w:t>intervenants de ce cours ont eux-mêmes un parcours d’ingénieur avant d’avoir rejoint le milieu de la formation.</w:t>
      </w:r>
    </w:p>
    <w:p w:rsidR="00B24A5D" w:rsidRPr="00B24A5D" w:rsidRDefault="00B24A5D" w:rsidP="00737717">
      <w:pPr>
        <w:jc w:val="both"/>
        <w:rPr>
          <w:rFonts w:ascii="Calibri" w:eastAsia="Times New Roman" w:hAnsi="Calibri" w:cs="Times New Roman"/>
          <w:color w:val="000000"/>
          <w:szCs w:val="20"/>
          <w:lang w:eastAsia="fr-FR"/>
        </w:rPr>
      </w:pPr>
    </w:p>
    <w:p w:rsidR="00B2211C" w:rsidRDefault="00B2211C" w:rsidP="00737717">
      <w:pPr>
        <w:pStyle w:val="Paragraphedeliste"/>
        <w:numPr>
          <w:ilvl w:val="0"/>
          <w:numId w:val="3"/>
        </w:numPr>
        <w:jc w:val="both"/>
      </w:pPr>
      <w:r>
        <w:t>LA PEDAGOGIE</w:t>
      </w:r>
    </w:p>
    <w:p w:rsidR="00B2211C" w:rsidRDefault="00B2211C" w:rsidP="00737717">
      <w:pPr>
        <w:jc w:val="both"/>
      </w:pPr>
      <w:r>
        <w:t xml:space="preserve">Pour B. MASINGUE, les évolutions socio-économiques obligent à se poser la question du travail : les organisations sont aujourd’hui beaucoup plus floues, la révolution numérique a changé les relations, les méthodes  et le rapport au travail. </w:t>
      </w:r>
      <w:r w:rsidR="00A364FE">
        <w:t xml:space="preserve">Il faut intégrer la réflexion sur l’évolution du travail et les enjeux de la formation dans la gestion des ressources humaines. </w:t>
      </w:r>
    </w:p>
    <w:p w:rsidR="00A364FE" w:rsidRDefault="00A364FE" w:rsidP="00737717">
      <w:pPr>
        <w:jc w:val="both"/>
      </w:pPr>
      <w:r>
        <w:t>Aussi, si l’on doit prendre en compte le fait qu’il faille des professionnels qualifiés, il faut surtout, comme l’explique JP MONDOU, former des personnes capables d’évoluer dans leur métier, dans leur emploi. Il faut leur permettre de développer leur adaptabilité</w:t>
      </w:r>
      <w:r w:rsidR="00FD2C11">
        <w:t xml:space="preserve"> dans un monde du travail instable qui évolue et se transforme</w:t>
      </w:r>
      <w:r>
        <w:t xml:space="preserve">. </w:t>
      </w:r>
    </w:p>
    <w:p w:rsidR="00A364FE" w:rsidRDefault="00A364FE" w:rsidP="00737717">
      <w:pPr>
        <w:jc w:val="both"/>
      </w:pPr>
      <w:r>
        <w:t xml:space="preserve">Ainsi, on remarque de façon assez générale, un changement dans les approches pédagogiques.   </w:t>
      </w:r>
    </w:p>
    <w:p w:rsidR="00544EAA" w:rsidRDefault="00B2211C" w:rsidP="00737717">
      <w:pPr>
        <w:jc w:val="both"/>
      </w:pPr>
      <w:r>
        <w:t xml:space="preserve">Selon P. DUBECHOT, on est passé d’une logique de qualification à une logique </w:t>
      </w:r>
      <w:r w:rsidR="00102443">
        <w:t xml:space="preserve">de </w:t>
      </w:r>
      <w:r>
        <w:t xml:space="preserve">compétence. </w:t>
      </w:r>
      <w:r w:rsidR="00A364FE">
        <w:t>Pour O. DECKER, dans les métiers de la santé, on est passé de la pédagogie par objectifs à une approche par les compétences : on cherche à développer chez l’apprenant la mobilisation de savoirs autour de si</w:t>
      </w:r>
      <w:r w:rsidR="00FD2C11">
        <w:t xml:space="preserve">tuations professionnelles clés afin qu’il soit efficient en situation de travail, en fonction du contexte. </w:t>
      </w:r>
    </w:p>
    <w:p w:rsidR="00B2211C" w:rsidRDefault="00544EAA" w:rsidP="00737717">
      <w:pPr>
        <w:jc w:val="both"/>
      </w:pPr>
      <w:r>
        <w:t>On se dirige vers une pédagogie du projet : à l’E2C, c’est la construction du projet professionnel qui est le levier de tout le parcours de formation. On va vers l’individualisation du parcours.</w:t>
      </w:r>
    </w:p>
    <w:p w:rsidR="00544EAA" w:rsidRDefault="00544EAA" w:rsidP="00737717">
      <w:pPr>
        <w:jc w:val="both"/>
      </w:pPr>
      <w:r>
        <w:t>La dimension de réflexivité est très présente au cœur des dispositifs</w:t>
      </w:r>
      <w:r w:rsidR="00102443">
        <w:t xml:space="preserve"> de formation</w:t>
      </w:r>
      <w:r>
        <w:t>. Pour F. FOURCADE (CCIP), « </w:t>
      </w:r>
      <w:r w:rsidRPr="00544EAA">
        <w:rPr>
          <w:i/>
        </w:rPr>
        <w:t>il faut du vide, de l’air, dans les dispositifs de formation, du temps pour réfléchir !</w:t>
      </w:r>
      <w:r>
        <w:t xml:space="preserve"> ». L’analyse des pratiques </w:t>
      </w:r>
      <w:r w:rsidR="00102443">
        <w:t xml:space="preserve">professionnelles </w:t>
      </w:r>
      <w:r>
        <w:t xml:space="preserve">est une modalité hautement mise en avant (ETSUP, IFSI, E2C, CCIP). </w:t>
      </w:r>
      <w:r w:rsidR="00102443">
        <w:t>On suscite chez l’apprenant la capacité de s’interroger sur le sens de ses actions plutôt que lui transmettre simplement des contenus. Cela va d’ailleurs dans le sens du profil des étudiants d’aujourd’hui : la « génération Y » comme le dit F. FOURCADE, est une génération « </w:t>
      </w:r>
      <w:proofErr w:type="spellStart"/>
      <w:r w:rsidR="00102443">
        <w:t>why</w:t>
      </w:r>
      <w:proofErr w:type="spellEnd"/>
      <w:r w:rsidR="00102443">
        <w:t xml:space="preserve"> ? », une génération qui interroge le sens, qui a besoin de comprendre et qui ne prend pas tout comme parole d’évangile ! </w:t>
      </w:r>
    </w:p>
    <w:p w:rsidR="00B2211C" w:rsidRDefault="00544EAA" w:rsidP="00737717">
      <w:pPr>
        <w:jc w:val="both"/>
      </w:pPr>
      <w:r>
        <w:t>Pour P. AUGER (Cap Gemini), la place de l’apprenant dans le dispositif change : il s’engage, il est acteur. Le formateur n’est plus le seul responsable du succès de la séquence de formation, l’apprenant prend sa part ! Il est important de mettre les apprenants en situation d’apprendre aux autres. La relation inter-apprenant est importante : il faut savoir l’utiliser au profit de l’</w:t>
      </w:r>
      <w:r w:rsidR="00ED229B">
        <w:t>apprentissage (J. BAHRI).</w:t>
      </w:r>
    </w:p>
    <w:p w:rsidR="00706DB9" w:rsidRDefault="00706DB9" w:rsidP="00737717">
      <w:pPr>
        <w:pStyle w:val="Paragraphedeliste"/>
        <w:numPr>
          <w:ilvl w:val="0"/>
          <w:numId w:val="3"/>
        </w:numPr>
        <w:jc w:val="both"/>
      </w:pPr>
      <w:r>
        <w:t>LA POSTURE DU FORMATEUR</w:t>
      </w:r>
    </w:p>
    <w:p w:rsidR="00706DB9" w:rsidRDefault="00706DB9" w:rsidP="00737717">
      <w:pPr>
        <w:jc w:val="both"/>
      </w:pPr>
      <w:r>
        <w:lastRenderedPageBreak/>
        <w:t xml:space="preserve">Dans cette évolution, la posture du formateur </w:t>
      </w:r>
      <w:r w:rsidR="00344BFE">
        <w:t>se réfère</w:t>
      </w:r>
      <w:r>
        <w:t xml:space="preserve"> à un principe de non-directivité, issu de la philosophie </w:t>
      </w:r>
      <w:proofErr w:type="spellStart"/>
      <w:r>
        <w:t>rogérienne</w:t>
      </w:r>
      <w:proofErr w:type="spellEnd"/>
      <w:r>
        <w:t xml:space="preserve"> (B. MASINGUE) ; il est bon, comme le dit P. DUBECHOT, « </w:t>
      </w:r>
      <w:r w:rsidRPr="00344BFE">
        <w:rPr>
          <w:i/>
        </w:rPr>
        <w:t>que le formateur descende de l’estrade</w:t>
      </w:r>
      <w:r>
        <w:t xml:space="preserve"> ». On a pu remarquer d’ailleurs que la plupart des intervenants de ce cours introduisaient leur intervention sur une allusion à cette position traditionnelle de l’enseignant : </w:t>
      </w:r>
      <w:r w:rsidR="00CE55F7">
        <w:t xml:space="preserve">seuls </w:t>
      </w:r>
      <w:r>
        <w:t xml:space="preserve">2 sur 12 sont restés sur l’estrade pour faire leur présentation ! Cette anecdote est assez </w:t>
      </w:r>
      <w:r w:rsidR="00344BFE">
        <w:t xml:space="preserve">représentative de l’idée </w:t>
      </w:r>
      <w:r>
        <w:t>que l’on se fait de la posture du formateur aujourd’hui. Sans aller jusqu’à des méthodes avant-gardistes utilisées par Cap Gemini et le modèle anglo-saxon (plus de table</w:t>
      </w:r>
      <w:r w:rsidR="00344BFE">
        <w:t xml:space="preserve">, « no </w:t>
      </w:r>
      <w:proofErr w:type="spellStart"/>
      <w:r w:rsidR="00344BFE">
        <w:t>slide</w:t>
      </w:r>
      <w:proofErr w:type="spellEnd"/>
      <w:r w:rsidR="00344BFE">
        <w:t xml:space="preserve"> </w:t>
      </w:r>
      <w:proofErr w:type="spellStart"/>
      <w:r w:rsidR="00344BFE">
        <w:t>university</w:t>
      </w:r>
      <w:proofErr w:type="spellEnd"/>
      <w:r w:rsidR="00344BFE">
        <w:t> »), la posture a changé. Pour F. FOURCADE, il faut « </w:t>
      </w:r>
      <w:r w:rsidR="00344BFE" w:rsidRPr="00EE1FD2">
        <w:rPr>
          <w:i/>
        </w:rPr>
        <w:t>faire admettre qu’un professeur qui ne sait pas est peut-être un bon professeur !</w:t>
      </w:r>
      <w:r w:rsidR="00344BFE">
        <w:t xml:space="preserve"> ». Le professeur « sachant » est remplacé par le professeur accompagnant, celui qui va guider l’apprenant dans ses recherches afin qu’il construise lui-même son savoir (approche constructiviste). </w:t>
      </w:r>
      <w:r w:rsidR="00FC2E46">
        <w:t>Cette nouvelle posture passe nécessairement par une remise en question du pouvoir que détient le formateur.</w:t>
      </w:r>
    </w:p>
    <w:p w:rsidR="00344BFE" w:rsidRDefault="00344BFE" w:rsidP="00737717">
      <w:pPr>
        <w:jc w:val="both"/>
      </w:pPr>
      <w:r>
        <w:t>La question de la confiance est fondamentale : il convient de créer un climat favorable à la relation pédagogique. L’école de la 2</w:t>
      </w:r>
      <w:r w:rsidRPr="00344BFE">
        <w:rPr>
          <w:vertAlign w:val="superscript"/>
        </w:rPr>
        <w:t>ème</w:t>
      </w:r>
      <w:r>
        <w:t xml:space="preserve"> chance en est un exemple : face à des publics ayant un rapport compliqué avec la scolarité, et plus largement avec l’autorité, le rôle de formateur référent de l’apprenant suppose des compétences particulières ! </w:t>
      </w:r>
    </w:p>
    <w:p w:rsidR="00EE1FD2" w:rsidRDefault="00EE1FD2" w:rsidP="00737717">
      <w:pPr>
        <w:jc w:val="both"/>
      </w:pPr>
      <w:r>
        <w:t>Néanmoins, on voit que dans beaucoup de structures, les formateurs sont issus du cœur de métier enseigné : ce sont des experts de la spécialité. C’est le cas à l’AFPA, à Cap Gemini et dans d’autres structures comme les IFSI, où les cadres formateurs sont issus de la filière infirmière. La question qui se pose alors est celle-ci : l’expert est-il forcément un bon pédagogue ? Si l’on évoque précisément le formateur-sachant, alors oui, l’expert est dans ce cas… Mais saura-t-il se mettre au niveau de l’apprenant ? On voit bien qu’on se trouve là au carrefour du cognitif et du pédagogique. Plusieurs intervenants ont pointé la nécessité d’accompagner les formateurs dans ce changement de posture et dans le développement de nouvelles compétences. Le formateur est davantage aujourd’hui dans un rôle de « facilitat</w:t>
      </w:r>
      <w:r w:rsidR="00FC2E46">
        <w:t>eu</w:t>
      </w:r>
      <w:r>
        <w:t>r »</w:t>
      </w:r>
      <w:r w:rsidR="00FC2E46">
        <w:t>.</w:t>
      </w:r>
    </w:p>
    <w:p w:rsidR="00CE55F7" w:rsidRDefault="00CE55F7" w:rsidP="00737717">
      <w:pPr>
        <w:jc w:val="both"/>
      </w:pPr>
      <w:r>
        <w:t xml:space="preserve"> </w:t>
      </w:r>
    </w:p>
    <w:sectPr w:rsidR="00CE55F7" w:rsidSect="00C45B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12" w:rsidRDefault="00E72C12" w:rsidP="00E72082">
      <w:pPr>
        <w:spacing w:after="0" w:line="240" w:lineRule="auto"/>
      </w:pPr>
      <w:r>
        <w:separator/>
      </w:r>
    </w:p>
  </w:endnote>
  <w:endnote w:type="continuationSeparator" w:id="0">
    <w:p w:rsidR="00E72C12" w:rsidRDefault="00E72C12" w:rsidP="00E72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82" w:rsidRDefault="000202BC">
    <w:pPr>
      <w:pStyle w:val="Pieddepage"/>
    </w:pPr>
    <w:r>
      <w:rPr>
        <w:noProof/>
        <w:lang w:eastAsia="zh-TW"/>
      </w:rPr>
      <w:pict>
        <v:group id="_x0000_s3077" style="position:absolute;margin-left:0;margin-top:0;width:580.05pt;height:27.35pt;z-index:251662336;mso-position-horizontal:center;mso-position-horizontal-relative:page;mso-position-vertical:top;mso-position-vertical-relative:line" coordorigin="321,14850" coordsize="11601,547">
          <v:rect id="_x0000_s307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3078">
              <w:txbxContent>
                <w:sdt>
                  <w:sdtPr>
                    <w:rPr>
                      <w:color w:val="FFFFFF" w:themeColor="background1"/>
                      <w:spacing w:val="60"/>
                    </w:rPr>
                    <w:alias w:val="Adresse"/>
                    <w:id w:val="79885540"/>
                    <w:placeholder>
                      <w:docPart w:val="56A8D628B4B746DCA371D5E99B72BF8D"/>
                    </w:placeholder>
                    <w:dataBinding w:prefixMappings="xmlns:ns0='http://schemas.microsoft.com/office/2006/coverPageProps'" w:xpath="/ns0:CoverPageProperties[1]/ns0:CompanyAddress[1]" w:storeItemID="{55AF091B-3C7A-41E3-B477-F2FDAA23CFDA}"/>
                    <w:text w:multiLine="1"/>
                  </w:sdtPr>
                  <w:sdtContent>
                    <w:p w:rsidR="00E72082" w:rsidRDefault="00295E85">
                      <w:pPr>
                        <w:pStyle w:val="Pieddepage"/>
                        <w:jc w:val="right"/>
                        <w:rPr>
                          <w:color w:val="FFFFFF" w:themeColor="background1"/>
                          <w:spacing w:val="60"/>
                        </w:rPr>
                      </w:pPr>
                      <w:r>
                        <w:rPr>
                          <w:color w:val="FFFFFF" w:themeColor="background1"/>
                          <w:spacing w:val="60"/>
                        </w:rPr>
                        <w:t>Université PARIS 10 Nanterre</w:t>
                      </w:r>
                    </w:p>
                  </w:sdtContent>
                </w:sdt>
                <w:p w:rsidR="00E72082" w:rsidRDefault="00E72082">
                  <w:pPr>
                    <w:pStyle w:val="En-tte"/>
                    <w:rPr>
                      <w:color w:val="FFFFFF" w:themeColor="background1"/>
                    </w:rPr>
                  </w:pPr>
                </w:p>
              </w:txbxContent>
            </v:textbox>
          </v:rect>
          <v:rect id="_x0000_s3079" style="position:absolute;left:9763;top:14903;width:2102;height:432;mso-position-horizontal-relative:page;mso-position-vertical:center;mso-position-vertical-relative:bottom-margin-area" o:allowincell="f" fillcolor="#943634 [2405]" stroked="f">
            <v:fill color2="#943634 [2405]"/>
            <v:textbox style="mso-next-textbox:#_x0000_s3079">
              <w:txbxContent>
                <w:p w:rsidR="00E72082" w:rsidRDefault="00E72082">
                  <w:pPr>
                    <w:pStyle w:val="Pieddepage"/>
                    <w:rPr>
                      <w:color w:val="FFFFFF" w:themeColor="background1"/>
                    </w:rPr>
                  </w:pPr>
                  <w:r>
                    <w:rPr>
                      <w:color w:val="FFFFFF" w:themeColor="background1"/>
                    </w:rPr>
                    <w:t xml:space="preserve">Page </w:t>
                  </w:r>
                  <w:fldSimple w:instr=" PAGE   \* MERGEFORMAT ">
                    <w:r w:rsidR="008E4A26" w:rsidRPr="008E4A26">
                      <w:rPr>
                        <w:noProof/>
                        <w:color w:val="FFFFFF" w:themeColor="background1"/>
                      </w:rPr>
                      <w:t>5</w:t>
                    </w:r>
                  </w:fldSimple>
                </w:p>
              </w:txbxContent>
            </v:textbox>
          </v:rect>
          <v:rect id="_x0000_s308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12" w:rsidRDefault="00E72C12" w:rsidP="00E72082">
      <w:pPr>
        <w:spacing w:after="0" w:line="240" w:lineRule="auto"/>
      </w:pPr>
      <w:r>
        <w:separator/>
      </w:r>
    </w:p>
  </w:footnote>
  <w:footnote w:type="continuationSeparator" w:id="0">
    <w:p w:rsidR="00E72C12" w:rsidRDefault="00E72C12" w:rsidP="00E72082">
      <w:pPr>
        <w:spacing w:after="0" w:line="240" w:lineRule="auto"/>
      </w:pPr>
      <w:r>
        <w:continuationSeparator/>
      </w:r>
    </w:p>
  </w:footnote>
  <w:footnote w:id="1">
    <w:p w:rsidR="00454EC9" w:rsidRDefault="00454EC9" w:rsidP="00454EC9">
      <w:pPr>
        <w:pStyle w:val="Notedebasdepage"/>
      </w:pPr>
      <w:r>
        <w:rPr>
          <w:rStyle w:val="Appelnotedebasdep"/>
        </w:rPr>
        <w:footnoteRef/>
      </w:r>
      <w:r>
        <w:t xml:space="preserve"> Interventions de B. MASINGUE, 19 octobre 2012, de B. ALIX, CNFPT, 26 octobre 2012, de J. BAHRI, CESI, 16 novembre 2012, de J.P. MONDOU, AFPA, 23 novembre 2012, de M. VICTOR, CAFOC, 7 décembre 2012</w:t>
      </w:r>
      <w:r w:rsidR="00357366">
        <w:t xml:space="preserve"> et de P. DUBECHOT, ETSUP, 14 décembre 2012</w:t>
      </w:r>
    </w:p>
    <w:p w:rsidR="00454EC9" w:rsidRDefault="00454EC9">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82" w:rsidRDefault="000202BC">
    <w:pPr>
      <w:pStyle w:val="En-tte"/>
    </w:pPr>
    <w:r>
      <w:rPr>
        <w:noProof/>
        <w:lang w:eastAsia="zh-TW"/>
      </w:rPr>
      <w:pict>
        <v:group id="_x0000_s3073"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3074" style="position:absolute;left:377;top:360;width:9346;height:720;mso-position-horizontal-relative:page;mso-position-vertical:center;mso-position-vertical-relative:top-margin-area;v-text-anchor:middle" fillcolor="#e36c0a [2409]" stroked="f" strokecolor="white [3212]" strokeweight="1.5pt">
            <v:textbox style="mso-next-textbox:#_x0000_s3074">
              <w:txbxContent>
                <w:sdt>
                  <w:sdtPr>
                    <w:rPr>
                      <w:color w:val="FFFFFF" w:themeColor="background1"/>
                      <w:sz w:val="24"/>
                      <w:szCs w:val="28"/>
                    </w:rPr>
                    <w:alias w:val="Titre"/>
                    <w:id w:val="24147111"/>
                    <w:placeholder>
                      <w:docPart w:val="69B140A78B6A4AC18461CB7F1E9E420E"/>
                    </w:placeholder>
                    <w:dataBinding w:prefixMappings="xmlns:ns0='http://schemas.openxmlformats.org/package/2006/metadata/core-properties' xmlns:ns1='http://purl.org/dc/elements/1.1/'" w:xpath="/ns0:coreProperties[1]/ns1:title[1]" w:storeItemID="{6C3C8BC8-F283-45AE-878A-BAB7291924A1}"/>
                    <w:text/>
                  </w:sdtPr>
                  <w:sdtContent>
                    <w:p w:rsidR="00E72082" w:rsidRDefault="00E72082">
                      <w:pPr>
                        <w:pStyle w:val="En-tte"/>
                        <w:rPr>
                          <w:color w:val="FFFFFF" w:themeColor="background1"/>
                          <w:sz w:val="28"/>
                          <w:szCs w:val="28"/>
                        </w:rPr>
                      </w:pPr>
                      <w:r w:rsidRPr="00E72082">
                        <w:rPr>
                          <w:color w:val="FFFFFF" w:themeColor="background1"/>
                          <w:sz w:val="24"/>
                          <w:szCs w:val="28"/>
                        </w:rPr>
                        <w:t xml:space="preserve">Florence POLICARD – master 2 IPFA                                                                          </w:t>
                      </w:r>
                      <w:r>
                        <w:rPr>
                          <w:color w:val="FFFFFF" w:themeColor="background1"/>
                          <w:sz w:val="24"/>
                          <w:szCs w:val="28"/>
                        </w:rPr>
                        <w:t xml:space="preserve">         </w:t>
                      </w:r>
                      <w:r w:rsidRPr="00E72082">
                        <w:rPr>
                          <w:color w:val="FFFFFF" w:themeColor="background1"/>
                          <w:sz w:val="24"/>
                          <w:szCs w:val="28"/>
                        </w:rPr>
                        <w:t xml:space="preserve"> Synthèse UE connaissance des milieux de la formation </w:t>
                      </w:r>
                    </w:p>
                  </w:sdtContent>
                </w:sdt>
                <w:p w:rsidR="00E72082" w:rsidRDefault="00E72082"/>
              </w:txbxContent>
            </v:textbox>
          </v:rect>
          <v:rect id="_x0000_s3075"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3075">
              <w:txbxContent>
                <w:sdt>
                  <w:sdtPr>
                    <w:rPr>
                      <w:color w:val="FFFFFF" w:themeColor="background1"/>
                      <w:szCs w:val="36"/>
                    </w:rPr>
                    <w:alias w:val="Année"/>
                    <w:id w:val="24147112"/>
                    <w:placeholder>
                      <w:docPart w:val="E74787061CC540A383D671AF208B3EFB"/>
                    </w:placeholder>
                    <w:dataBinding w:prefixMappings="xmlns:ns0='http://schemas.microsoft.com/office/2006/coverPageProps'" w:xpath="/ns0:CoverPageProperties[1]/ns0:PublishDate[1]" w:storeItemID="{55AF091B-3C7A-41E3-B477-F2FDAA23CFDA}"/>
                    <w:date w:fullDate="2013-02-01T00:00:00Z">
                      <w:dateFormat w:val="yyyy"/>
                      <w:lid w:val="fr-FR"/>
                      <w:storeMappedDataAs w:val="dateTime"/>
                      <w:calendar w:val="gregorian"/>
                    </w:date>
                  </w:sdtPr>
                  <w:sdtContent>
                    <w:p w:rsidR="00E72082" w:rsidRPr="00E72082" w:rsidRDefault="00E72082">
                      <w:pPr>
                        <w:pStyle w:val="En-tte"/>
                        <w:rPr>
                          <w:color w:val="FFFFFF" w:themeColor="background1"/>
                          <w:szCs w:val="36"/>
                        </w:rPr>
                      </w:pPr>
                      <w:r w:rsidRPr="00E72082">
                        <w:rPr>
                          <w:color w:val="FFFFFF" w:themeColor="background1"/>
                          <w:szCs w:val="36"/>
                        </w:rPr>
                        <w:t>2013</w:t>
                      </w:r>
                    </w:p>
                  </w:sdtContent>
                </w:sdt>
              </w:txbxContent>
            </v:textbox>
          </v:rect>
          <v:rect id="_x0000_s307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F64BF"/>
    <w:multiLevelType w:val="hybridMultilevel"/>
    <w:tmpl w:val="5BFA04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133C29"/>
    <w:multiLevelType w:val="hybridMultilevel"/>
    <w:tmpl w:val="0BCAA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8169E2"/>
    <w:multiLevelType w:val="hybridMultilevel"/>
    <w:tmpl w:val="B39CF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7C3664"/>
    <w:rsid w:val="000202BC"/>
    <w:rsid w:val="00034CB8"/>
    <w:rsid w:val="00102443"/>
    <w:rsid w:val="00115901"/>
    <w:rsid w:val="001400C3"/>
    <w:rsid w:val="00245D0F"/>
    <w:rsid w:val="00295E85"/>
    <w:rsid w:val="00344BFE"/>
    <w:rsid w:val="00357366"/>
    <w:rsid w:val="00402D86"/>
    <w:rsid w:val="004257C1"/>
    <w:rsid w:val="00440D4B"/>
    <w:rsid w:val="00454EC9"/>
    <w:rsid w:val="00544EAA"/>
    <w:rsid w:val="005B04F6"/>
    <w:rsid w:val="005C216D"/>
    <w:rsid w:val="00606125"/>
    <w:rsid w:val="00621C56"/>
    <w:rsid w:val="006813CA"/>
    <w:rsid w:val="006B4A80"/>
    <w:rsid w:val="00706DB9"/>
    <w:rsid w:val="00737717"/>
    <w:rsid w:val="0074044C"/>
    <w:rsid w:val="007442EF"/>
    <w:rsid w:val="00753053"/>
    <w:rsid w:val="007C3664"/>
    <w:rsid w:val="008E4A26"/>
    <w:rsid w:val="0098615E"/>
    <w:rsid w:val="00A3196F"/>
    <w:rsid w:val="00A364FE"/>
    <w:rsid w:val="00A87A76"/>
    <w:rsid w:val="00B11CF1"/>
    <w:rsid w:val="00B2211C"/>
    <w:rsid w:val="00B24A5D"/>
    <w:rsid w:val="00B6515E"/>
    <w:rsid w:val="00C35EA8"/>
    <w:rsid w:val="00C45B57"/>
    <w:rsid w:val="00CE55F7"/>
    <w:rsid w:val="00D80881"/>
    <w:rsid w:val="00D85728"/>
    <w:rsid w:val="00D96704"/>
    <w:rsid w:val="00E72082"/>
    <w:rsid w:val="00E72C12"/>
    <w:rsid w:val="00ED229B"/>
    <w:rsid w:val="00EE1FD2"/>
    <w:rsid w:val="00FC2E46"/>
    <w:rsid w:val="00FD2C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082"/>
    <w:pPr>
      <w:tabs>
        <w:tab w:val="center" w:pos="4536"/>
        <w:tab w:val="right" w:pos="9072"/>
      </w:tabs>
      <w:spacing w:after="0" w:line="240" w:lineRule="auto"/>
    </w:pPr>
  </w:style>
  <w:style w:type="character" w:customStyle="1" w:styleId="En-tteCar">
    <w:name w:val="En-tête Car"/>
    <w:basedOn w:val="Policepardfaut"/>
    <w:link w:val="En-tte"/>
    <w:uiPriority w:val="99"/>
    <w:rsid w:val="00E72082"/>
  </w:style>
  <w:style w:type="paragraph" w:styleId="Pieddepage">
    <w:name w:val="footer"/>
    <w:basedOn w:val="Normal"/>
    <w:link w:val="PieddepageCar"/>
    <w:uiPriority w:val="99"/>
    <w:unhideWhenUsed/>
    <w:rsid w:val="00E720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082"/>
  </w:style>
  <w:style w:type="paragraph" w:styleId="Textedebulles">
    <w:name w:val="Balloon Text"/>
    <w:basedOn w:val="Normal"/>
    <w:link w:val="TextedebullesCar"/>
    <w:uiPriority w:val="99"/>
    <w:semiHidden/>
    <w:unhideWhenUsed/>
    <w:rsid w:val="00E720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082"/>
    <w:rPr>
      <w:rFonts w:ascii="Tahoma" w:hAnsi="Tahoma" w:cs="Tahoma"/>
      <w:sz w:val="16"/>
      <w:szCs w:val="16"/>
    </w:rPr>
  </w:style>
  <w:style w:type="paragraph" w:styleId="Paragraphedeliste">
    <w:name w:val="List Paragraph"/>
    <w:basedOn w:val="Normal"/>
    <w:uiPriority w:val="34"/>
    <w:qFormat/>
    <w:rsid w:val="00A87A76"/>
    <w:pPr>
      <w:ind w:left="720"/>
      <w:contextualSpacing/>
    </w:pPr>
  </w:style>
  <w:style w:type="character" w:styleId="lev">
    <w:name w:val="Strong"/>
    <w:basedOn w:val="Policepardfaut"/>
    <w:uiPriority w:val="22"/>
    <w:qFormat/>
    <w:rsid w:val="00A3196F"/>
    <w:rPr>
      <w:b/>
      <w:bCs/>
    </w:rPr>
  </w:style>
  <w:style w:type="paragraph" w:styleId="Notedebasdepage">
    <w:name w:val="footnote text"/>
    <w:basedOn w:val="Normal"/>
    <w:link w:val="NotedebasdepageCar"/>
    <w:uiPriority w:val="99"/>
    <w:semiHidden/>
    <w:unhideWhenUsed/>
    <w:rsid w:val="00454E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4EC9"/>
    <w:rPr>
      <w:sz w:val="20"/>
      <w:szCs w:val="20"/>
    </w:rPr>
  </w:style>
  <w:style w:type="character" w:styleId="Appelnotedebasdep">
    <w:name w:val="footnote reference"/>
    <w:basedOn w:val="Policepardfaut"/>
    <w:uiPriority w:val="99"/>
    <w:semiHidden/>
    <w:unhideWhenUsed/>
    <w:rsid w:val="00454EC9"/>
    <w:rPr>
      <w:vertAlign w:val="superscript"/>
    </w:rPr>
  </w:style>
</w:styles>
</file>

<file path=word/webSettings.xml><?xml version="1.0" encoding="utf-8"?>
<w:webSettings xmlns:r="http://schemas.openxmlformats.org/officeDocument/2006/relationships" xmlns:w="http://schemas.openxmlformats.org/wordprocessingml/2006/main">
  <w:divs>
    <w:div w:id="17733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B140A78B6A4AC18461CB7F1E9E420E"/>
        <w:category>
          <w:name w:val="Général"/>
          <w:gallery w:val="placeholder"/>
        </w:category>
        <w:types>
          <w:type w:val="bbPlcHdr"/>
        </w:types>
        <w:behaviors>
          <w:behavior w:val="content"/>
        </w:behaviors>
        <w:guid w:val="{BDD519A7-E28C-49D1-A28D-31AF772391FC}"/>
      </w:docPartPr>
      <w:docPartBody>
        <w:p w:rsidR="00EC356A" w:rsidRDefault="008A4A51" w:rsidP="008A4A51">
          <w:pPr>
            <w:pStyle w:val="69B140A78B6A4AC18461CB7F1E9E420E"/>
          </w:pPr>
          <w:r>
            <w:rPr>
              <w:color w:val="FFFFFF" w:themeColor="background1"/>
              <w:sz w:val="28"/>
              <w:szCs w:val="28"/>
            </w:rPr>
            <w:t>[Tapez le titre du document]</w:t>
          </w:r>
        </w:p>
      </w:docPartBody>
    </w:docPart>
    <w:docPart>
      <w:docPartPr>
        <w:name w:val="E74787061CC540A383D671AF208B3EFB"/>
        <w:category>
          <w:name w:val="Général"/>
          <w:gallery w:val="placeholder"/>
        </w:category>
        <w:types>
          <w:type w:val="bbPlcHdr"/>
        </w:types>
        <w:behaviors>
          <w:behavior w:val="content"/>
        </w:behaviors>
        <w:guid w:val="{5815609B-D013-492A-9064-4996635AAE5F}"/>
      </w:docPartPr>
      <w:docPartBody>
        <w:p w:rsidR="00EC356A" w:rsidRDefault="008A4A51" w:rsidP="008A4A51">
          <w:pPr>
            <w:pStyle w:val="E74787061CC540A383D671AF208B3EFB"/>
          </w:pPr>
          <w:r>
            <w:rPr>
              <w:color w:val="FFFFFF" w:themeColor="background1"/>
              <w:sz w:val="36"/>
              <w:szCs w:val="36"/>
            </w:rPr>
            <w:t>[Année]</w:t>
          </w:r>
        </w:p>
      </w:docPartBody>
    </w:docPart>
    <w:docPart>
      <w:docPartPr>
        <w:name w:val="56A8D628B4B746DCA371D5E99B72BF8D"/>
        <w:category>
          <w:name w:val="Général"/>
          <w:gallery w:val="placeholder"/>
        </w:category>
        <w:types>
          <w:type w:val="bbPlcHdr"/>
        </w:types>
        <w:behaviors>
          <w:behavior w:val="content"/>
        </w:behaviors>
        <w:guid w:val="{A2E14C69-D125-4442-8285-33A61310F9B0}"/>
      </w:docPartPr>
      <w:docPartBody>
        <w:p w:rsidR="00EC356A" w:rsidRDefault="008A4A51" w:rsidP="008A4A51">
          <w:pPr>
            <w:pStyle w:val="56A8D628B4B746DCA371D5E99B72BF8D"/>
          </w:pPr>
          <w:r>
            <w:rPr>
              <w:color w:val="FFFFFF" w:themeColor="background1"/>
              <w:spacing w:val="60"/>
            </w:rPr>
            <w:t>[Tapez l'adresse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A4A51"/>
    <w:rsid w:val="00370023"/>
    <w:rsid w:val="008A4A51"/>
    <w:rsid w:val="00BB52FE"/>
    <w:rsid w:val="00E30EB0"/>
    <w:rsid w:val="00EC35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B140A78B6A4AC18461CB7F1E9E420E">
    <w:name w:val="69B140A78B6A4AC18461CB7F1E9E420E"/>
    <w:rsid w:val="008A4A51"/>
  </w:style>
  <w:style w:type="paragraph" w:customStyle="1" w:styleId="E74787061CC540A383D671AF208B3EFB">
    <w:name w:val="E74787061CC540A383D671AF208B3EFB"/>
    <w:rsid w:val="008A4A51"/>
  </w:style>
  <w:style w:type="paragraph" w:customStyle="1" w:styleId="83903B6271EE46CEA0D0BC344BBA67FB">
    <w:name w:val="83903B6271EE46CEA0D0BC344BBA67FB"/>
    <w:rsid w:val="008A4A51"/>
  </w:style>
  <w:style w:type="paragraph" w:customStyle="1" w:styleId="56A8D628B4B746DCA371D5E99B72BF8D">
    <w:name w:val="56A8D628B4B746DCA371D5E99B72BF8D"/>
    <w:rsid w:val="008A4A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Université PARIS 10 Nanterre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3B9861-D4E9-4CDB-B337-8EAFAED3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2192</Words>
  <Characters>12058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Florence POLICARD – master 2 IPFA                                                                                    Synthèse UE connaissance des milieux de la formation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POLICARD – master 2 IPFA                                                                                    Synthèse UE connaissance des milieux de la formation </dc:title>
  <dc:subject/>
  <dc:creator>FLO</dc:creator>
  <cp:keywords/>
  <dc:description/>
  <cp:lastModifiedBy>FLO</cp:lastModifiedBy>
  <cp:revision>11</cp:revision>
  <dcterms:created xsi:type="dcterms:W3CDTF">2012-12-26T20:06:00Z</dcterms:created>
  <dcterms:modified xsi:type="dcterms:W3CDTF">2013-05-28T08:30:00Z</dcterms:modified>
</cp:coreProperties>
</file>